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205D" w14:textId="770256F6" w:rsidR="00912203" w:rsidRPr="00912203" w:rsidRDefault="59398390" w:rsidP="00912203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b/>
          <w:bCs/>
          <w:sz w:val="32"/>
          <w:szCs w:val="32"/>
          <w:lang w:val="es-ES"/>
        </w:rPr>
      </w:pPr>
      <w:bookmarkStart w:id="0" w:name="_Hlk194321056"/>
      <w:r w:rsidRPr="34FE8104">
        <w:rPr>
          <w:b/>
          <w:bCs/>
          <w:sz w:val="32"/>
          <w:szCs w:val="32"/>
          <w:lang w:val="es-ES"/>
        </w:rPr>
        <w:t>COMUNI</w:t>
      </w:r>
      <w:r w:rsidR="273F070F" w:rsidRPr="34FE8104">
        <w:rPr>
          <w:b/>
          <w:bCs/>
          <w:sz w:val="32"/>
          <w:szCs w:val="32"/>
          <w:lang w:val="es-ES"/>
        </w:rPr>
        <w:t>CADO</w:t>
      </w:r>
      <w:r w:rsidRPr="34FE8104">
        <w:rPr>
          <w:b/>
          <w:bCs/>
          <w:sz w:val="32"/>
          <w:szCs w:val="32"/>
          <w:lang w:val="es-ES"/>
        </w:rPr>
        <w:t xml:space="preserve"> DE PRENSA, POSTERIOR AL EVENTO</w:t>
      </w:r>
    </w:p>
    <w:p w14:paraId="29BF7D10" w14:textId="77777777" w:rsidR="00B212F6" w:rsidRDefault="00B212F6" w:rsidP="00B212F6">
      <w:pPr>
        <w:spacing w:after="0" w:line="240" w:lineRule="auto"/>
        <w:rPr>
          <w:lang w:val="es-ES"/>
        </w:rPr>
      </w:pPr>
    </w:p>
    <w:p w14:paraId="09B63366" w14:textId="31FF88A6" w:rsidR="0003390B" w:rsidRDefault="004C4462" w:rsidP="00B212F6">
      <w:pPr>
        <w:spacing w:after="0" w:line="240" w:lineRule="auto"/>
        <w:rPr>
          <w:lang w:val="es-ES"/>
        </w:rPr>
      </w:pPr>
      <w:r>
        <w:rPr>
          <w:lang w:val="es-ES"/>
        </w:rPr>
        <w:t>Formato: comunicado de pre</w:t>
      </w:r>
      <w:r w:rsidR="003B5DF6">
        <w:rPr>
          <w:lang w:val="es-ES"/>
        </w:rPr>
        <w:t>nsa conjunto</w:t>
      </w:r>
    </w:p>
    <w:p w14:paraId="66B14EC5" w14:textId="77777777" w:rsidR="00A610CF" w:rsidRDefault="00A610CF" w:rsidP="00B212F6">
      <w:pPr>
        <w:spacing w:after="0" w:line="240" w:lineRule="auto"/>
        <w:rPr>
          <w:lang w:val="es-ES"/>
        </w:rPr>
      </w:pPr>
    </w:p>
    <w:p w14:paraId="51CF0908" w14:textId="48FC00AD" w:rsidR="004C4462" w:rsidRDefault="00A610CF" w:rsidP="00B212F6">
      <w:pPr>
        <w:spacing w:after="0" w:line="240" w:lineRule="auto"/>
        <w:rPr>
          <w:lang w:val="es-ES"/>
        </w:rPr>
      </w:pPr>
      <w:r w:rsidRPr="1A8FA680">
        <w:rPr>
          <w:lang w:val="es-ES"/>
        </w:rPr>
        <w:t xml:space="preserve">Se propone </w:t>
      </w:r>
      <w:r w:rsidR="001A6D93" w:rsidRPr="1A8FA680">
        <w:rPr>
          <w:lang w:val="es-ES"/>
        </w:rPr>
        <w:t xml:space="preserve">remitir a medios el martes </w:t>
      </w:r>
      <w:r w:rsidR="004D6E01" w:rsidRPr="1A8FA680">
        <w:rPr>
          <w:lang w:val="es-ES"/>
        </w:rPr>
        <w:t xml:space="preserve">08 de abril, </w:t>
      </w:r>
      <w:r w:rsidR="001A6D93" w:rsidRPr="1A8FA680">
        <w:rPr>
          <w:lang w:val="es-ES"/>
        </w:rPr>
        <w:t xml:space="preserve">posterior a la semana de </w:t>
      </w:r>
      <w:proofErr w:type="spellStart"/>
      <w:r w:rsidR="001A6D93" w:rsidRPr="1A8FA680">
        <w:rPr>
          <w:lang w:val="es-ES"/>
        </w:rPr>
        <w:t>StartCo</w:t>
      </w:r>
      <w:proofErr w:type="spellEnd"/>
      <w:r w:rsidR="001A6D93" w:rsidRPr="1A8FA680">
        <w:rPr>
          <w:lang w:val="es-ES"/>
        </w:rPr>
        <w:t>.</w:t>
      </w:r>
    </w:p>
    <w:p w14:paraId="3C55031D" w14:textId="28FA8307" w:rsidR="004D6E01" w:rsidRDefault="004D6E01" w:rsidP="1A8FA680">
      <w:pPr>
        <w:spacing w:after="0" w:line="240" w:lineRule="auto"/>
        <w:rPr>
          <w:lang w:val="es-ES"/>
        </w:rPr>
      </w:pPr>
    </w:p>
    <w:p w14:paraId="5A64FBAB" w14:textId="15056176" w:rsidR="004D6E01" w:rsidRDefault="7EF80AE4" w:rsidP="34FE8104">
      <w:pPr>
        <w:spacing w:after="0" w:line="240" w:lineRule="auto"/>
        <w:jc w:val="center"/>
        <w:rPr>
          <w:b/>
          <w:bCs/>
          <w:lang w:val="es-ES"/>
        </w:rPr>
      </w:pPr>
      <w:r w:rsidRPr="34FE8104">
        <w:rPr>
          <w:b/>
          <w:bCs/>
          <w:lang w:val="es-ES"/>
        </w:rPr>
        <w:t xml:space="preserve">Bancóldex y Ruta N invierten en </w:t>
      </w:r>
      <w:proofErr w:type="spellStart"/>
      <w:r w:rsidRPr="34FE8104">
        <w:rPr>
          <w:b/>
          <w:bCs/>
          <w:lang w:val="es-ES"/>
        </w:rPr>
        <w:t>Simma</w:t>
      </w:r>
      <w:proofErr w:type="spellEnd"/>
      <w:r w:rsidRPr="34FE8104">
        <w:rPr>
          <w:b/>
          <w:bCs/>
          <w:lang w:val="es-ES"/>
        </w:rPr>
        <w:t xml:space="preserve"> </w:t>
      </w:r>
      <w:r w:rsidR="469C8E4B" w:rsidRPr="34FE8104">
        <w:rPr>
          <w:b/>
          <w:bCs/>
          <w:lang w:val="es-ES"/>
        </w:rPr>
        <w:t>Fintech</w:t>
      </w:r>
      <w:r w:rsidRPr="34FE8104">
        <w:rPr>
          <w:b/>
          <w:bCs/>
          <w:lang w:val="es-ES"/>
        </w:rPr>
        <w:t xml:space="preserve"> +</w:t>
      </w:r>
    </w:p>
    <w:p w14:paraId="1C33071B" w14:textId="0E38FD60" w:rsidR="004D6E01" w:rsidRDefault="004D6E01" w:rsidP="1A8FA680">
      <w:pPr>
        <w:spacing w:after="0" w:line="240" w:lineRule="auto"/>
        <w:jc w:val="center"/>
        <w:rPr>
          <w:b/>
          <w:bCs/>
          <w:lang w:val="es-ES"/>
        </w:rPr>
      </w:pPr>
    </w:p>
    <w:p w14:paraId="221F7371" w14:textId="6D3C20F0" w:rsidR="1A8FA680" w:rsidRDefault="5FE4DF26" w:rsidP="5292C0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5292C08C">
        <w:rPr>
          <w:b/>
          <w:bCs/>
          <w:i/>
          <w:iCs/>
          <w:lang w:val="es-ES"/>
        </w:rPr>
        <w:t xml:space="preserve"> </w:t>
      </w:r>
      <w:r w:rsidR="57AB247D" w:rsidRPr="5292C08C">
        <w:rPr>
          <w:i/>
          <w:iCs/>
        </w:rPr>
        <w:t>La inversión</w:t>
      </w:r>
      <w:r w:rsidR="7BACD787" w:rsidRPr="5292C08C">
        <w:rPr>
          <w:i/>
          <w:iCs/>
        </w:rPr>
        <w:t xml:space="preserve"> en el fondo</w:t>
      </w:r>
      <w:r w:rsidR="57AB247D" w:rsidRPr="5292C08C">
        <w:rPr>
          <w:i/>
          <w:iCs/>
        </w:rPr>
        <w:t xml:space="preserve"> asciende a un monto de hasta </w:t>
      </w:r>
      <w:r w:rsidR="73463C30" w:rsidRPr="5292C08C">
        <w:rPr>
          <w:i/>
          <w:iCs/>
        </w:rPr>
        <w:t>$</w:t>
      </w:r>
      <w:r w:rsidR="57AB247D" w:rsidRPr="5292C08C">
        <w:rPr>
          <w:i/>
          <w:iCs/>
        </w:rPr>
        <w:t>13,400 millones, lo que refleja el compromiso de ambas entidades en el fortalecimiento del ecosistema emprendedor en Colombia, particularmente en la ciudad de Medell</w:t>
      </w:r>
      <w:r w:rsidR="613A61D6" w:rsidRPr="5292C08C">
        <w:rPr>
          <w:i/>
          <w:iCs/>
        </w:rPr>
        <w:t>ín</w:t>
      </w:r>
      <w:r w:rsidR="57AB247D" w:rsidRPr="5292C08C">
        <w:rPr>
          <w:i/>
          <w:iCs/>
        </w:rPr>
        <w:t>.</w:t>
      </w:r>
    </w:p>
    <w:p w14:paraId="0F0F2DF7" w14:textId="48B44642" w:rsidR="1A8FA680" w:rsidRDefault="1A8FA680" w:rsidP="5292C08C">
      <w:pPr>
        <w:pStyle w:val="Prrafodelista"/>
        <w:spacing w:after="0" w:line="240" w:lineRule="auto"/>
        <w:jc w:val="both"/>
        <w:rPr>
          <w:i/>
          <w:iCs/>
        </w:rPr>
      </w:pPr>
    </w:p>
    <w:p w14:paraId="0474DEEE" w14:textId="33454418" w:rsidR="1A8FA680" w:rsidRDefault="55D41033" w:rsidP="5292C0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5292C08C">
        <w:rPr>
          <w:rFonts w:eastAsiaTheme="minorEastAsia"/>
        </w:rPr>
        <w:t>Esta operación permitirá aumentar la inversión en</w:t>
      </w:r>
      <w:r w:rsidR="02A65255" w:rsidRPr="5292C08C">
        <w:rPr>
          <w:rFonts w:eastAsiaTheme="minorEastAsia"/>
        </w:rPr>
        <w:t xml:space="preserve"> emprendimientos</w:t>
      </w:r>
      <w:r w:rsidR="7ED539D0" w:rsidRPr="5292C08C">
        <w:rPr>
          <w:rFonts w:eastAsiaTheme="minorEastAsia"/>
        </w:rPr>
        <w:t xml:space="preserve"> Fintech</w:t>
      </w:r>
      <w:r w:rsidR="6A738C3C" w:rsidRPr="5292C08C">
        <w:rPr>
          <w:rFonts w:eastAsiaTheme="minorEastAsia"/>
        </w:rPr>
        <w:t>,</w:t>
      </w:r>
      <w:r w:rsidR="02A65255" w:rsidRPr="5292C08C">
        <w:rPr>
          <w:rFonts w:eastAsiaTheme="minorEastAsia"/>
        </w:rPr>
        <w:t xml:space="preserve"> de etapa tempana</w:t>
      </w:r>
      <w:r w:rsidR="05749A54" w:rsidRPr="5292C08C">
        <w:rPr>
          <w:rFonts w:eastAsiaTheme="minorEastAsia"/>
        </w:rPr>
        <w:t>,</w:t>
      </w:r>
      <w:r w:rsidR="02A65255" w:rsidRPr="5292C08C">
        <w:rPr>
          <w:rFonts w:eastAsiaTheme="minorEastAsia"/>
        </w:rPr>
        <w:t xml:space="preserve"> que desarrollen soluciones tecnológicas disruptivas para mejorar la eficiencia y accesibilidad de los servicios financieros. </w:t>
      </w:r>
    </w:p>
    <w:p w14:paraId="388E3CB8" w14:textId="0470334B" w:rsidR="1A8FA680" w:rsidRDefault="1A8FA680" w:rsidP="5292C08C">
      <w:pPr>
        <w:spacing w:after="0" w:line="240" w:lineRule="auto"/>
        <w:ind w:left="720"/>
        <w:rPr>
          <w:i/>
          <w:iCs/>
          <w:lang w:val="es-ES"/>
        </w:rPr>
      </w:pPr>
    </w:p>
    <w:p w14:paraId="3A256DFA" w14:textId="0F3E3518" w:rsidR="00B212F6" w:rsidRPr="0028680B" w:rsidRDefault="0A4C9535" w:rsidP="34FE8104">
      <w:pPr>
        <w:spacing w:after="0" w:line="240" w:lineRule="auto"/>
        <w:jc w:val="both"/>
        <w:rPr>
          <w:rFonts w:eastAsiaTheme="minorEastAsia"/>
        </w:rPr>
      </w:pPr>
      <w:r w:rsidRPr="34FE8104">
        <w:rPr>
          <w:b/>
          <w:bCs/>
          <w:lang w:val="es-ES"/>
        </w:rPr>
        <w:t>Medellín, abril de 2025</w:t>
      </w:r>
      <w:r w:rsidR="706F0599" w:rsidRPr="34FE8104">
        <w:rPr>
          <w:b/>
          <w:bCs/>
          <w:lang w:val="es-ES"/>
        </w:rPr>
        <w:t>.</w:t>
      </w:r>
      <w:r w:rsidR="78087FF2" w:rsidRPr="34FE8104">
        <w:rPr>
          <w:lang w:val="es-ES"/>
        </w:rPr>
        <w:t xml:space="preserve"> En el marco de </w:t>
      </w:r>
      <w:proofErr w:type="spellStart"/>
      <w:r w:rsidR="78087FF2" w:rsidRPr="34FE8104">
        <w:rPr>
          <w:lang w:val="es-ES"/>
        </w:rPr>
        <w:t>Star</w:t>
      </w:r>
      <w:r w:rsidR="3DAAEC21" w:rsidRPr="34FE8104">
        <w:rPr>
          <w:lang w:val="es-ES"/>
        </w:rPr>
        <w:t>tC</w:t>
      </w:r>
      <w:r w:rsidR="78087FF2" w:rsidRPr="34FE8104">
        <w:rPr>
          <w:lang w:val="es-ES"/>
        </w:rPr>
        <w:t>o</w:t>
      </w:r>
      <w:proofErr w:type="spellEnd"/>
      <w:r w:rsidR="78087FF2" w:rsidRPr="34FE8104">
        <w:rPr>
          <w:lang w:val="es-ES"/>
        </w:rPr>
        <w:t>,</w:t>
      </w:r>
      <w:r w:rsidR="5506ED51" w:rsidRPr="34FE8104">
        <w:rPr>
          <w:lang w:val="es-ES"/>
        </w:rPr>
        <w:t xml:space="preserve"> </w:t>
      </w:r>
      <w:r w:rsidR="5506ED51" w:rsidRPr="34FE8104">
        <w:rPr>
          <w:rFonts w:ascii="Aptos" w:eastAsia="Aptos" w:hAnsi="Aptos" w:cs="Arial"/>
          <w:color w:val="000000" w:themeColor="text1"/>
          <w:lang w:val="es-ES"/>
        </w:rPr>
        <w:t xml:space="preserve">la feria de startups más grande de </w:t>
      </w:r>
      <w:r w:rsidR="3ADC9920" w:rsidRPr="34FE8104">
        <w:rPr>
          <w:rFonts w:ascii="Aptos" w:eastAsia="Aptos" w:hAnsi="Aptos" w:cs="Arial"/>
          <w:color w:val="000000" w:themeColor="text1"/>
          <w:lang w:val="es-ES"/>
        </w:rPr>
        <w:t>Latinoamérica, Medellín</w:t>
      </w:r>
      <w:r w:rsidR="406948C6" w:rsidRPr="34FE8104">
        <w:rPr>
          <w:lang w:val="es-ES"/>
        </w:rPr>
        <w:t xml:space="preserve"> Venture Capital, </w:t>
      </w:r>
      <w:bookmarkStart w:id="1" w:name="_Hlk194320373"/>
      <w:r w:rsidR="406948C6" w:rsidRPr="34FE8104">
        <w:rPr>
          <w:lang w:val="es-ES"/>
        </w:rPr>
        <w:t>el programa de inversión</w:t>
      </w:r>
      <w:r w:rsidR="1357FB8B" w:rsidRPr="34FE8104">
        <w:rPr>
          <w:lang w:val="es-ES"/>
        </w:rPr>
        <w:t xml:space="preserve"> en capital emprendedor</w:t>
      </w:r>
      <w:r w:rsidR="406948C6" w:rsidRPr="34FE8104">
        <w:rPr>
          <w:lang w:val="es-ES"/>
        </w:rPr>
        <w:t xml:space="preserve"> de la ciudad liderado por Ruta </w:t>
      </w:r>
      <w:r w:rsidR="1AAB55A7" w:rsidRPr="34FE8104">
        <w:rPr>
          <w:lang w:val="es-ES"/>
        </w:rPr>
        <w:t>N, anunci</w:t>
      </w:r>
      <w:r w:rsidR="20854934" w:rsidRPr="34FE8104">
        <w:rPr>
          <w:lang w:val="es-ES"/>
        </w:rPr>
        <w:t>ó</w:t>
      </w:r>
      <w:bookmarkEnd w:id="1"/>
      <w:r w:rsidR="406948C6" w:rsidRPr="34FE8104">
        <w:rPr>
          <w:lang w:val="es-ES"/>
        </w:rPr>
        <w:t xml:space="preserve"> su primera inversión estratégica,</w:t>
      </w:r>
      <w:r w:rsidR="511A1D88" w:rsidRPr="34FE8104">
        <w:rPr>
          <w:lang w:val="es-ES"/>
        </w:rPr>
        <w:t xml:space="preserve"> </w:t>
      </w:r>
      <w:r w:rsidR="3D29E07A" w:rsidRPr="34FE8104">
        <w:rPr>
          <w:lang w:val="es-ES"/>
        </w:rPr>
        <w:t xml:space="preserve">en alianza </w:t>
      </w:r>
      <w:r w:rsidR="511A1D88" w:rsidRPr="34FE8104">
        <w:rPr>
          <w:lang w:val="es-ES"/>
        </w:rPr>
        <w:t xml:space="preserve">con </w:t>
      </w:r>
      <w:r w:rsidR="49BDFD99" w:rsidRPr="34FE8104">
        <w:rPr>
          <w:lang w:val="es-ES"/>
        </w:rPr>
        <w:t xml:space="preserve">Bancóldex, </w:t>
      </w:r>
      <w:r w:rsidR="6B6FD6A7" w:rsidRPr="34FE8104">
        <w:rPr>
          <w:lang w:val="es-ES"/>
        </w:rPr>
        <w:t>a través de su Fondo de Fondos II</w:t>
      </w:r>
      <w:r w:rsidR="0F9022D3" w:rsidRPr="34FE8104">
        <w:rPr>
          <w:lang w:val="es-ES"/>
        </w:rPr>
        <w:t xml:space="preserve">, en el Fondo </w:t>
      </w:r>
      <w:proofErr w:type="spellStart"/>
      <w:r w:rsidR="0F9022D3" w:rsidRPr="34FE8104">
        <w:rPr>
          <w:lang w:val="es-ES"/>
        </w:rPr>
        <w:t>Simma</w:t>
      </w:r>
      <w:proofErr w:type="spellEnd"/>
      <w:r w:rsidR="0F9022D3" w:rsidRPr="34FE8104">
        <w:rPr>
          <w:lang w:val="es-ES"/>
        </w:rPr>
        <w:t xml:space="preserve"> Fintech +, el cual invierte en</w:t>
      </w:r>
      <w:r w:rsidR="0F9022D3" w:rsidRPr="34FE8104">
        <w:rPr>
          <w:rFonts w:eastAsiaTheme="minorEastAsia"/>
        </w:rPr>
        <w:t xml:space="preserve"> emprendimientos de etapa tempana que desarrollen soluciones tecnológicas disruptivas para mejorar la eficiencia y accesibilidad de los servicios financieros.</w:t>
      </w:r>
    </w:p>
    <w:p w14:paraId="3B5970C2" w14:textId="650DFE12" w:rsidR="00B212F6" w:rsidRPr="0028680B" w:rsidRDefault="00B212F6" w:rsidP="5292C08C">
      <w:pPr>
        <w:spacing w:after="0" w:line="240" w:lineRule="auto"/>
        <w:jc w:val="both"/>
        <w:rPr>
          <w:lang w:val="es-ES"/>
        </w:rPr>
      </w:pPr>
    </w:p>
    <w:p w14:paraId="2EA4C8DC" w14:textId="23BD8989" w:rsidR="00B212F6" w:rsidRPr="0028680B" w:rsidRDefault="6CFA27AF" w:rsidP="0003390B">
      <w:pPr>
        <w:spacing w:after="0" w:line="240" w:lineRule="auto"/>
        <w:jc w:val="both"/>
      </w:pPr>
      <w:r w:rsidRPr="5292C08C">
        <w:rPr>
          <w:lang w:val="es-ES"/>
        </w:rPr>
        <w:t>Esta</w:t>
      </w:r>
      <w:r w:rsidR="5672708C" w:rsidRPr="5292C08C">
        <w:rPr>
          <w:lang w:val="es-ES"/>
        </w:rPr>
        <w:t xml:space="preserve"> </w:t>
      </w:r>
      <w:r w:rsidR="673CCB72" w:rsidRPr="5292C08C">
        <w:rPr>
          <w:lang w:val="es-ES"/>
        </w:rPr>
        <w:t>inversión conjunta</w:t>
      </w:r>
      <w:r w:rsidR="298849DA" w:rsidRPr="5292C08C">
        <w:rPr>
          <w:lang w:val="es-ES"/>
        </w:rPr>
        <w:t>,</w:t>
      </w:r>
      <w:r w:rsidR="5672708C" w:rsidRPr="5292C08C">
        <w:rPr>
          <w:lang w:val="es-ES"/>
        </w:rPr>
        <w:t xml:space="preserve"> por</w:t>
      </w:r>
      <w:r w:rsidR="62CDB044" w:rsidRPr="5292C08C">
        <w:rPr>
          <w:lang w:val="es-ES"/>
        </w:rPr>
        <w:t xml:space="preserve"> hasta</w:t>
      </w:r>
      <w:r w:rsidR="2875369E" w:rsidRPr="5292C08C">
        <w:rPr>
          <w:lang w:val="es-ES"/>
        </w:rPr>
        <w:t xml:space="preserve"> $13.400 millones</w:t>
      </w:r>
      <w:r w:rsidR="6F7B6ECB" w:rsidRPr="5292C08C">
        <w:rPr>
          <w:lang w:val="es-ES"/>
        </w:rPr>
        <w:t>,</w:t>
      </w:r>
      <w:r w:rsidR="588F9101">
        <w:t xml:space="preserve"> </w:t>
      </w:r>
      <w:r w:rsidR="355536A6">
        <w:t>permitirá</w:t>
      </w:r>
      <w:r w:rsidR="588F9101">
        <w:t xml:space="preserve"> impulsar el crecimiento de startups innovadoras </w:t>
      </w:r>
      <w:r w:rsidR="4FAD289B">
        <w:t>d</w:t>
      </w:r>
      <w:r w:rsidR="588F9101">
        <w:t>el sector Fintech, un área estratégica</w:t>
      </w:r>
      <w:r w:rsidR="2AA1FD52">
        <w:t xml:space="preserve"> para la región,</w:t>
      </w:r>
      <w:r w:rsidR="7C28F945">
        <w:t xml:space="preserve"> ya</w:t>
      </w:r>
      <w:r w:rsidR="70B026D1">
        <w:t xml:space="preserve"> que</w:t>
      </w:r>
      <w:r w:rsidR="4EEC278C">
        <w:t xml:space="preserve"> no solo impacta</w:t>
      </w:r>
      <w:r w:rsidR="17BF93F4">
        <w:t>rá</w:t>
      </w:r>
      <w:r w:rsidR="4EEC278C">
        <w:t xml:space="preserve"> positivamente la economía digital, sino que </w:t>
      </w:r>
      <w:r w:rsidR="53DF6800">
        <w:t>también</w:t>
      </w:r>
      <w:r w:rsidR="7C28F945">
        <w:t xml:space="preserve"> </w:t>
      </w:r>
      <w:r w:rsidR="6CF7F5E4">
        <w:t>permit</w:t>
      </w:r>
      <w:r w:rsidR="2D71F5C9">
        <w:t xml:space="preserve">irá </w:t>
      </w:r>
      <w:r w:rsidR="6CF7F5E4">
        <w:t xml:space="preserve">que más </w:t>
      </w:r>
      <w:r w:rsidR="5FE36D7A">
        <w:t>personas accedan</w:t>
      </w:r>
      <w:r w:rsidR="02774079">
        <w:t xml:space="preserve"> </w:t>
      </w:r>
      <w:r w:rsidR="354E74D4">
        <w:t xml:space="preserve">de mejor manera </w:t>
      </w:r>
      <w:r w:rsidR="02774079">
        <w:t>al sistema financiero.</w:t>
      </w:r>
    </w:p>
    <w:p w14:paraId="232F4265" w14:textId="322E18D2" w:rsidR="00B212F6" w:rsidRPr="0028680B" w:rsidRDefault="00B212F6" w:rsidP="5292C08C">
      <w:pPr>
        <w:spacing w:after="0" w:line="240" w:lineRule="auto"/>
        <w:jc w:val="both"/>
      </w:pPr>
    </w:p>
    <w:p w14:paraId="1F4C56C6" w14:textId="76C8DF15" w:rsidR="00B212F6" w:rsidRPr="0028680B" w:rsidRDefault="2DC80150" w:rsidP="5292C08C">
      <w:pPr>
        <w:spacing w:after="0" w:line="240" w:lineRule="auto"/>
        <w:jc w:val="both"/>
        <w:rPr>
          <w:lang w:val="es-ES"/>
        </w:rPr>
      </w:pPr>
      <w:r>
        <w:t>“</w:t>
      </w:r>
      <w:r w:rsidRPr="5292C08C">
        <w:rPr>
          <w:i/>
          <w:iCs/>
        </w:rPr>
        <w:t xml:space="preserve">Felicitamos al equipo de </w:t>
      </w:r>
      <w:proofErr w:type="spellStart"/>
      <w:r w:rsidRPr="5292C08C">
        <w:rPr>
          <w:i/>
          <w:iCs/>
          <w:lang w:val="es-ES"/>
        </w:rPr>
        <w:t>Simma</w:t>
      </w:r>
      <w:proofErr w:type="spellEnd"/>
      <w:r w:rsidRPr="5292C08C">
        <w:rPr>
          <w:i/>
          <w:iCs/>
          <w:lang w:val="es-ES"/>
        </w:rPr>
        <w:t xml:space="preserve"> Fintech + y esperamos que pronto muchos de los emprendedores de la región sean objetivos de inversión por parte de este nuevo gestor profesional del ecosistema y los ayudemos a seguir generando impacto y desarrollo económico</w:t>
      </w:r>
      <w:r w:rsidRPr="5292C08C">
        <w:rPr>
          <w:lang w:val="es-ES"/>
        </w:rPr>
        <w:t xml:space="preserve">”, </w:t>
      </w:r>
      <w:r w:rsidR="00FD09CA">
        <w:rPr>
          <w:lang w:val="es-ES"/>
        </w:rPr>
        <w:t>Carolina Londoño, Directora ejecutiva de Ruta N</w:t>
      </w:r>
    </w:p>
    <w:p w14:paraId="681963C2" w14:textId="049A1686" w:rsidR="00B212F6" w:rsidRPr="0028680B" w:rsidRDefault="00B212F6" w:rsidP="5292C08C">
      <w:pPr>
        <w:spacing w:after="0" w:line="240" w:lineRule="auto"/>
        <w:jc w:val="both"/>
      </w:pPr>
    </w:p>
    <w:p w14:paraId="0012ABA3" w14:textId="41EF82BB" w:rsidR="0028680B" w:rsidRDefault="0028680B" w:rsidP="5292C08C">
      <w:pPr>
        <w:spacing w:after="0" w:line="240" w:lineRule="auto"/>
        <w:jc w:val="both"/>
      </w:pPr>
      <w:r>
        <w:t xml:space="preserve">Esta inversión no </w:t>
      </w:r>
      <w:bookmarkStart w:id="2" w:name="_Hlk194320809"/>
      <w:r>
        <w:t>solo refuerza el compromiso de Medellín Venture Capital</w:t>
      </w:r>
      <w:r w:rsidR="57D1F86B" w:rsidRPr="5292C08C">
        <w:rPr>
          <w:rFonts w:ascii="Aptos" w:eastAsia="Aptos" w:hAnsi="Aptos" w:cs="Aptos"/>
        </w:rPr>
        <w:t>, de la mano de su aliado estratégico Corporación Ruta N</w:t>
      </w:r>
      <w:r w:rsidR="6EE4B7A8" w:rsidRPr="5292C08C">
        <w:rPr>
          <w:rFonts w:ascii="Aptos" w:eastAsia="Aptos" w:hAnsi="Aptos" w:cs="Aptos"/>
        </w:rPr>
        <w:t xml:space="preserve">, </w:t>
      </w:r>
      <w:r w:rsidR="6EE4B7A8">
        <w:t>y de Bancóldex</w:t>
      </w:r>
      <w:r w:rsidR="6EE4B7A8" w:rsidRPr="5292C08C">
        <w:rPr>
          <w:rFonts w:ascii="Aptos" w:eastAsia="Aptos" w:hAnsi="Aptos" w:cs="Aptos"/>
        </w:rPr>
        <w:t xml:space="preserve"> </w:t>
      </w:r>
      <w:r>
        <w:t xml:space="preserve">con el ecosistema local, sino que también abre nuevas oportunidades para los emprendedores de la ciudad, proporcionándoles acceso a capital y apoyo estratégico para </w:t>
      </w:r>
      <w:r w:rsidR="00A46A2A">
        <w:t>transformar</w:t>
      </w:r>
      <w:r>
        <w:t xml:space="preserve"> sus ideas y proyectos </w:t>
      </w:r>
      <w:r w:rsidR="00A46A2A">
        <w:t>en realidad.</w:t>
      </w:r>
    </w:p>
    <w:bookmarkEnd w:id="2"/>
    <w:p w14:paraId="69A0EE2C" w14:textId="22D2A782" w:rsidR="5292C08C" w:rsidRDefault="5292C08C" w:rsidP="5292C08C">
      <w:pPr>
        <w:spacing w:after="0" w:line="240" w:lineRule="auto"/>
        <w:jc w:val="both"/>
      </w:pPr>
    </w:p>
    <w:p w14:paraId="43AE6E02" w14:textId="238D3F88" w:rsidR="7FA203C0" w:rsidRDefault="0D9011E7" w:rsidP="5292C08C">
      <w:pPr>
        <w:spacing w:line="257" w:lineRule="auto"/>
        <w:jc w:val="both"/>
        <w:rPr>
          <w:rFonts w:ascii="Aptos" w:eastAsia="Aptos" w:hAnsi="Aptos" w:cs="Aptos"/>
          <w:lang w:val="es-ES"/>
        </w:rPr>
      </w:pPr>
      <w:r w:rsidRPr="34FE8104">
        <w:rPr>
          <w:rFonts w:ascii="Aptos" w:eastAsia="Aptos" w:hAnsi="Aptos" w:cs="Aptos"/>
          <w:lang w:val="es-ES"/>
        </w:rPr>
        <w:t xml:space="preserve">Margarita Coronado Gómez, directora de Fondos de Capital privado de Bancóldex, explicó que </w:t>
      </w:r>
      <w:r w:rsidR="1161B863" w:rsidRPr="34FE8104">
        <w:rPr>
          <w:rFonts w:ascii="Aptos" w:eastAsia="Aptos" w:hAnsi="Aptos" w:cs="Aptos"/>
          <w:lang w:val="es-ES"/>
        </w:rPr>
        <w:t>“</w:t>
      </w:r>
      <w:r w:rsidR="1161B863" w:rsidRPr="34FE8104">
        <w:rPr>
          <w:rFonts w:ascii="Aptos" w:eastAsia="Aptos" w:hAnsi="Aptos" w:cs="Aptos"/>
          <w:i/>
          <w:iCs/>
          <w:lang w:val="es-ES"/>
        </w:rPr>
        <w:t xml:space="preserve">La alianza entre Bancóldex y Ruta N, representa una fuerza dinamizadora para el ecosistema emprendedor colombiano. Las dos organizaciones combinaremos recursos y conocimientos, para impulsar no solo la innovación y desarrollo de talento, sino </w:t>
      </w:r>
      <w:r w:rsidR="5EA3190F" w:rsidRPr="34FE8104">
        <w:rPr>
          <w:rFonts w:ascii="Aptos" w:eastAsia="Aptos" w:hAnsi="Aptos" w:cs="Aptos"/>
          <w:i/>
          <w:iCs/>
          <w:lang w:val="es-ES"/>
        </w:rPr>
        <w:t>también le aportaremos a la creación de un</w:t>
      </w:r>
      <w:r w:rsidR="1161B863" w:rsidRPr="34FE8104">
        <w:rPr>
          <w:rFonts w:ascii="Aptos" w:eastAsia="Aptos" w:hAnsi="Aptos" w:cs="Aptos"/>
          <w:i/>
          <w:iCs/>
          <w:lang w:val="es-ES"/>
        </w:rPr>
        <w:t xml:space="preserve"> entorno de apoyo para el surgimiento de nuevos fondos de capital emprendedo</w:t>
      </w:r>
      <w:r w:rsidR="1161B863" w:rsidRPr="34FE8104">
        <w:rPr>
          <w:rFonts w:ascii="Aptos" w:eastAsia="Aptos" w:hAnsi="Aptos" w:cs="Aptos"/>
          <w:lang w:val="es-ES"/>
        </w:rPr>
        <w:t>r</w:t>
      </w:r>
      <w:r w:rsidR="433D4F7B" w:rsidRPr="34FE8104">
        <w:rPr>
          <w:rFonts w:ascii="Aptos" w:eastAsia="Aptos" w:hAnsi="Aptos" w:cs="Aptos"/>
          <w:lang w:val="es-ES"/>
        </w:rPr>
        <w:t>”</w:t>
      </w:r>
      <w:r w:rsidR="57671D56" w:rsidRPr="34FE8104">
        <w:rPr>
          <w:rFonts w:ascii="Aptos" w:eastAsia="Aptos" w:hAnsi="Aptos" w:cs="Aptos"/>
          <w:lang w:val="es-ES"/>
        </w:rPr>
        <w:t>. Cabe destacar que esta operación responde a la estrategia Fomento Micro VC de Bancóldex que busca movilizar capital para empresas en etapa temprana.</w:t>
      </w:r>
    </w:p>
    <w:p w14:paraId="3147F759" w14:textId="7AC10B55" w:rsidR="5292C08C" w:rsidRDefault="07B6B404" w:rsidP="34FE8104">
      <w:pPr>
        <w:spacing w:after="0" w:line="240" w:lineRule="auto"/>
        <w:jc w:val="both"/>
        <w:rPr>
          <w:highlight w:val="yellow"/>
          <w:lang w:val="es-ES"/>
        </w:rPr>
      </w:pPr>
      <w:r w:rsidRPr="34FE8104">
        <w:lastRenderedPageBreak/>
        <w:t>“</w:t>
      </w:r>
      <w:r w:rsidR="5920FA57" w:rsidRPr="34FE8104">
        <w:t xml:space="preserve">Esta decisión </w:t>
      </w:r>
      <w:r w:rsidR="18D47780" w:rsidRPr="34FE8104">
        <w:t xml:space="preserve">de Bancóldex y Ruta N </w:t>
      </w:r>
      <w:r w:rsidR="5920FA57" w:rsidRPr="34FE8104">
        <w:t>representa una señal sólida para inversionistas y emprendedores, al reflejar un respaldo institucional al fortalecimiento del ecosistema emprendedor de la ciudad, del país y de la región</w:t>
      </w:r>
      <w:r w:rsidR="7B42B8DD" w:rsidRPr="34FE8104">
        <w:t xml:space="preserve">. Este es un paso importante dentro de esa estrategia, y confiamos en que contribuirá a atraer nuevas inversiones y a fortalecer el tejido empresarial local”, </w:t>
      </w:r>
      <w:proofErr w:type="gramStart"/>
      <w:r w:rsidR="55CCBD9B" w:rsidRPr="34FE8104">
        <w:t>ind</w:t>
      </w:r>
      <w:r w:rsidR="7B42B8DD" w:rsidRPr="34FE8104">
        <w:t>icó</w:t>
      </w:r>
      <w:r w:rsidR="4D88BA46" w:rsidRPr="34FE8104">
        <w:t xml:space="preserve"> </w:t>
      </w:r>
      <w:r w:rsidR="4D88BA46" w:rsidRPr="34FE8104">
        <w:rPr>
          <w:rFonts w:ascii="Aptos" w:eastAsia="Aptos" w:hAnsi="Aptos" w:cs="Aptos"/>
          <w:lang w:val="es-ES"/>
        </w:rPr>
        <w:t xml:space="preserve"> </w:t>
      </w:r>
      <w:r w:rsidR="4D88BA46" w:rsidRPr="34FE8104">
        <w:rPr>
          <w:lang w:val="es-ES"/>
        </w:rPr>
        <w:t>Daniel</w:t>
      </w:r>
      <w:proofErr w:type="gramEnd"/>
      <w:r w:rsidR="4D88BA46" w:rsidRPr="34FE8104">
        <w:rPr>
          <w:lang w:val="es-ES"/>
        </w:rPr>
        <w:t xml:space="preserve"> </w:t>
      </w:r>
      <w:proofErr w:type="spellStart"/>
      <w:r w:rsidR="4D88BA46" w:rsidRPr="34FE8104">
        <w:rPr>
          <w:lang w:val="es-ES"/>
        </w:rPr>
        <w:t>Blandon</w:t>
      </w:r>
      <w:proofErr w:type="spellEnd"/>
      <w:r w:rsidR="6271DAE4" w:rsidRPr="34FE8104">
        <w:rPr>
          <w:lang w:val="es-ES"/>
        </w:rPr>
        <w:t>,</w:t>
      </w:r>
      <w:r w:rsidR="4D88BA46" w:rsidRPr="34FE8104">
        <w:rPr>
          <w:lang w:val="es-ES"/>
        </w:rPr>
        <w:t xml:space="preserve"> </w:t>
      </w:r>
      <w:proofErr w:type="spellStart"/>
      <w:r w:rsidR="4D88BA46" w:rsidRPr="34FE8104">
        <w:rPr>
          <w:lang w:val="es-ES"/>
        </w:rPr>
        <w:t>Managing</w:t>
      </w:r>
      <w:proofErr w:type="spellEnd"/>
      <w:r w:rsidR="4D88BA46" w:rsidRPr="34FE8104">
        <w:rPr>
          <w:lang w:val="es-ES"/>
        </w:rPr>
        <w:t xml:space="preserve"> </w:t>
      </w:r>
      <w:proofErr w:type="spellStart"/>
      <w:r w:rsidR="4D88BA46" w:rsidRPr="34FE8104">
        <w:rPr>
          <w:lang w:val="es-ES"/>
        </w:rPr>
        <w:t>Partner</w:t>
      </w:r>
      <w:proofErr w:type="spellEnd"/>
      <w:r w:rsidR="4D88BA46" w:rsidRPr="34FE8104">
        <w:rPr>
          <w:lang w:val="es-ES"/>
        </w:rPr>
        <w:t xml:space="preserve"> de </w:t>
      </w:r>
      <w:proofErr w:type="spellStart"/>
      <w:r w:rsidR="4D88BA46" w:rsidRPr="34FE8104">
        <w:rPr>
          <w:lang w:val="es-ES"/>
        </w:rPr>
        <w:t>Simma</w:t>
      </w:r>
      <w:proofErr w:type="spellEnd"/>
      <w:r w:rsidR="7800E094" w:rsidRPr="34FE8104">
        <w:rPr>
          <w:lang w:val="es-ES"/>
        </w:rPr>
        <w:t>.</w:t>
      </w:r>
    </w:p>
    <w:p w14:paraId="3B53CAFC" w14:textId="0E197AEF" w:rsidR="5292C08C" w:rsidRDefault="5292C08C" w:rsidP="34FE8104">
      <w:pPr>
        <w:spacing w:after="0" w:line="240" w:lineRule="auto"/>
        <w:jc w:val="both"/>
      </w:pPr>
    </w:p>
    <w:p w14:paraId="10A3DF72" w14:textId="6A1D0A51" w:rsidR="5292C08C" w:rsidRDefault="4D88BA46" w:rsidP="34FE8104">
      <w:pPr>
        <w:spacing w:after="0" w:line="240" w:lineRule="auto"/>
        <w:jc w:val="both"/>
      </w:pPr>
      <w:proofErr w:type="spellStart"/>
      <w:r w:rsidRPr="34FE8104">
        <w:t>Simma</w:t>
      </w:r>
      <w:proofErr w:type="spellEnd"/>
      <w:r w:rsidRPr="34FE8104">
        <w:t xml:space="preserve"> Fintech estima dar inicio al fondo en el tercer trimestre del año, con el objetivo de invertir en 30 nuevos emprendimientos</w:t>
      </w:r>
      <w:r w:rsidR="6E032E13" w:rsidRPr="34FE8104">
        <w:t>, lo</w:t>
      </w:r>
      <w:r w:rsidRPr="34FE8104">
        <w:t xml:space="preserve"> que les permit</w:t>
      </w:r>
      <w:r w:rsidR="71822080" w:rsidRPr="34FE8104">
        <w:t>i</w:t>
      </w:r>
      <w:r w:rsidRPr="34FE8104">
        <w:t>rá continuar con su propósito de empoderar a emprendedores para que alcancen su máximo potencial y, a través de la tecnología, redefinan el futuro de la región.</w:t>
      </w:r>
    </w:p>
    <w:p w14:paraId="536FAE06" w14:textId="77777777" w:rsidR="00EA15E0" w:rsidRDefault="00EA15E0" w:rsidP="0003390B">
      <w:pPr>
        <w:spacing w:after="0" w:line="240" w:lineRule="auto"/>
        <w:jc w:val="both"/>
        <w:rPr>
          <w:b/>
          <w:bCs/>
        </w:rPr>
      </w:pPr>
    </w:p>
    <w:p w14:paraId="04566F21" w14:textId="7226BEB9" w:rsidR="00386ABF" w:rsidRDefault="0028680B" w:rsidP="0003390B">
      <w:pPr>
        <w:spacing w:after="0" w:line="240" w:lineRule="auto"/>
        <w:jc w:val="both"/>
        <w:rPr>
          <w:b/>
          <w:bCs/>
        </w:rPr>
      </w:pPr>
      <w:r w:rsidRPr="0028680B">
        <w:rPr>
          <w:b/>
          <w:bCs/>
        </w:rPr>
        <w:t>Sobre Medellín Venture Capital</w:t>
      </w:r>
    </w:p>
    <w:p w14:paraId="2E79FAAC" w14:textId="77777777" w:rsidR="00B212F6" w:rsidRDefault="00B212F6" w:rsidP="0003390B">
      <w:pPr>
        <w:spacing w:after="0" w:line="240" w:lineRule="auto"/>
        <w:jc w:val="both"/>
      </w:pPr>
    </w:p>
    <w:p w14:paraId="02D88CEE" w14:textId="2A129972" w:rsidR="0028680B" w:rsidRDefault="0CB24BD5" w:rsidP="0003390B">
      <w:pPr>
        <w:spacing w:after="0" w:line="240" w:lineRule="auto"/>
        <w:jc w:val="both"/>
      </w:pPr>
      <w:r>
        <w:t xml:space="preserve">Medellín Venture Capital es un programa de inversión liderado por </w:t>
      </w:r>
      <w:r w:rsidRPr="34FE8104">
        <w:rPr>
          <w:i/>
          <w:iCs/>
        </w:rPr>
        <w:t>Ruta N</w:t>
      </w:r>
      <w:r>
        <w:t xml:space="preserve">, la Agencia de </w:t>
      </w:r>
      <w:r w:rsidR="5CC20364">
        <w:t xml:space="preserve">Ciencia, Tecnología e </w:t>
      </w:r>
      <w:r>
        <w:t>Inn</w:t>
      </w:r>
      <w:r w:rsidR="0DEA1684">
        <w:t>ovación</w:t>
      </w:r>
      <w:r>
        <w:t xml:space="preserve"> de Medellín, que busca promover el crecimiento de startups y empresas tecnológicas en la ciudad. A través de la inversión en fondos de Venture Capital, el programa busca </w:t>
      </w:r>
      <w:r w:rsidR="263CD578">
        <w:t>fortalecer y posicionar el ecosistema de Venture Capital local a través de la inversión en un activo de ciudad que desbloquee oportunidades, energice el mercado y conecte a inversionistas con fundadores locales</w:t>
      </w:r>
    </w:p>
    <w:bookmarkEnd w:id="0"/>
    <w:p w14:paraId="5C62DD18" w14:textId="115F2467" w:rsidR="00793C71" w:rsidRDefault="00793C71" w:rsidP="34FE8104">
      <w:pPr>
        <w:spacing w:after="0" w:line="240" w:lineRule="auto"/>
        <w:jc w:val="both"/>
      </w:pPr>
    </w:p>
    <w:p w14:paraId="3270A697" w14:textId="51C6FBD8" w:rsidR="00793C71" w:rsidRDefault="64BB0A4D" w:rsidP="5292C08C">
      <w:pPr>
        <w:spacing w:after="0" w:line="240" w:lineRule="auto"/>
        <w:jc w:val="both"/>
        <w:rPr>
          <w:rFonts w:ascii="Aptos" w:eastAsia="Aptos" w:hAnsi="Aptos" w:cs="Aptos"/>
        </w:rPr>
      </w:pPr>
      <w:r w:rsidRPr="5292C08C">
        <w:rPr>
          <w:rFonts w:ascii="Aptos" w:eastAsia="Aptos" w:hAnsi="Aptos" w:cs="Aptos"/>
          <w:b/>
          <w:bCs/>
        </w:rPr>
        <w:t>Sobre Fondo de Fondos de Bancóldex</w:t>
      </w:r>
      <w:r w:rsidRPr="5292C08C">
        <w:rPr>
          <w:rFonts w:ascii="Aptos" w:eastAsia="Aptos" w:hAnsi="Aptos" w:cs="Aptos"/>
        </w:rPr>
        <w:t xml:space="preserve"> </w:t>
      </w:r>
    </w:p>
    <w:p w14:paraId="512CE41D" w14:textId="2265FC30" w:rsidR="00793C71" w:rsidRDefault="00793C71" w:rsidP="5292C08C">
      <w:pPr>
        <w:spacing w:after="0" w:line="240" w:lineRule="auto"/>
        <w:jc w:val="both"/>
        <w:rPr>
          <w:rFonts w:ascii="Aptos" w:eastAsia="Aptos" w:hAnsi="Aptos" w:cs="Aptos"/>
        </w:rPr>
      </w:pPr>
    </w:p>
    <w:p w14:paraId="23C60195" w14:textId="2777839F" w:rsidR="00793C71" w:rsidRDefault="3A311544" w:rsidP="5292C08C">
      <w:pPr>
        <w:spacing w:after="0" w:line="240" w:lineRule="auto"/>
        <w:jc w:val="both"/>
        <w:rPr>
          <w:rFonts w:ascii="Aptos" w:eastAsia="Aptos" w:hAnsi="Aptos" w:cs="Aptos"/>
        </w:rPr>
      </w:pPr>
      <w:r w:rsidRPr="5292C08C">
        <w:rPr>
          <w:rFonts w:ascii="Aptos" w:eastAsia="Aptos" w:hAnsi="Aptos" w:cs="Aptos"/>
        </w:rPr>
        <w:t>El Fondo de Fondos de Bancóldex</w:t>
      </w:r>
      <w:r w:rsidR="64BB0A4D" w:rsidRPr="5292C08C">
        <w:rPr>
          <w:rFonts w:ascii="Aptos" w:eastAsia="Aptos" w:hAnsi="Aptos" w:cs="Aptos"/>
        </w:rPr>
        <w:t xml:space="preserve"> es un vehículo que moviliza recursos de terceros hacia la industria de fondos de capital en Colombia y Latinoamérica, con el propósito de fomentar el desarrollo de mecanismos alternativos de financiación para emprendedores y empresarios. </w:t>
      </w:r>
    </w:p>
    <w:p w14:paraId="08035452" w14:textId="78EB0EBB" w:rsidR="00793C71" w:rsidRDefault="00793C71" w:rsidP="5292C08C">
      <w:pPr>
        <w:spacing w:after="0" w:line="240" w:lineRule="auto"/>
        <w:jc w:val="both"/>
        <w:rPr>
          <w:rFonts w:ascii="Aptos" w:eastAsia="Aptos" w:hAnsi="Aptos" w:cs="Aptos"/>
        </w:rPr>
      </w:pPr>
    </w:p>
    <w:p w14:paraId="6CDB4A15" w14:textId="1E059933" w:rsidR="00793C71" w:rsidRDefault="3BD0B2C2" w:rsidP="5292C08C">
      <w:pPr>
        <w:spacing w:after="0" w:line="240" w:lineRule="auto"/>
        <w:jc w:val="both"/>
        <w:rPr>
          <w:rFonts w:ascii="Aptos" w:eastAsia="Aptos" w:hAnsi="Aptos" w:cs="Aptos"/>
        </w:rPr>
      </w:pPr>
      <w:r w:rsidRPr="5292C08C">
        <w:rPr>
          <w:rFonts w:ascii="Aptos" w:eastAsia="Aptos" w:hAnsi="Aptos" w:cs="Aptos"/>
        </w:rPr>
        <w:t>Cabe destacar que, por</w:t>
      </w:r>
      <w:r w:rsidR="64BB0A4D" w:rsidRPr="5292C08C">
        <w:rPr>
          <w:rFonts w:ascii="Aptos" w:eastAsia="Aptos" w:hAnsi="Aptos" w:cs="Aptos"/>
        </w:rPr>
        <w:t xml:space="preserve"> 16 años, Bancóldex ha trabajado en pro de la movilización de recursos hacia empresas y emprendimientos </w:t>
      </w:r>
      <w:r w:rsidR="4EDCA06D" w:rsidRPr="5292C08C">
        <w:rPr>
          <w:rFonts w:ascii="Aptos" w:eastAsia="Aptos" w:hAnsi="Aptos" w:cs="Aptos"/>
        </w:rPr>
        <w:t>vía</w:t>
      </w:r>
      <w:r w:rsidR="64BB0A4D" w:rsidRPr="5292C08C">
        <w:rPr>
          <w:rFonts w:ascii="Aptos" w:eastAsia="Aptos" w:hAnsi="Aptos" w:cs="Aptos"/>
        </w:rPr>
        <w:t xml:space="preserve"> fondos de capital, así como por el desarrollo y profundización de dicha industria.</w:t>
      </w:r>
      <w:r w:rsidR="1DF435D2" w:rsidRPr="5292C08C">
        <w:rPr>
          <w:rFonts w:ascii="Aptos" w:eastAsia="Aptos" w:hAnsi="Aptos" w:cs="Aptos"/>
        </w:rPr>
        <w:t xml:space="preserve"> </w:t>
      </w:r>
      <w:r w:rsidR="64BB0A4D" w:rsidRPr="5292C08C">
        <w:rPr>
          <w:rFonts w:ascii="Aptos" w:eastAsia="Aptos" w:hAnsi="Aptos" w:cs="Aptos"/>
        </w:rPr>
        <w:t>A lo largo de estos años, ha logrado la movilización de $2 billones hacia empresas colombianas por medio de la inversión en 23 fondos de capital</w:t>
      </w:r>
      <w:r w:rsidR="168B7921" w:rsidRPr="5292C08C">
        <w:rPr>
          <w:rFonts w:ascii="Aptos" w:eastAsia="Aptos" w:hAnsi="Aptos" w:cs="Aptos"/>
        </w:rPr>
        <w:t>.</w:t>
      </w:r>
    </w:p>
    <w:p w14:paraId="7382D2EB" w14:textId="52A7F877" w:rsidR="00793C71" w:rsidRDefault="00793C71" w:rsidP="5292C08C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8105C0C" w14:textId="77777777" w:rsidR="00793C71" w:rsidRPr="00793C71" w:rsidRDefault="00793C71" w:rsidP="00793C71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sectPr w:rsidR="00793C71" w:rsidRPr="00793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B6A8C"/>
    <w:multiLevelType w:val="hybridMultilevel"/>
    <w:tmpl w:val="8D80F138"/>
    <w:lvl w:ilvl="0" w:tplc="828E16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7AD3"/>
    <w:multiLevelType w:val="hybridMultilevel"/>
    <w:tmpl w:val="C3E252F8"/>
    <w:lvl w:ilvl="0" w:tplc="DB1A3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50DF"/>
    <w:multiLevelType w:val="hybridMultilevel"/>
    <w:tmpl w:val="FFFFFFFF"/>
    <w:lvl w:ilvl="0" w:tplc="E4484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EA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89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4F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05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6B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8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EE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42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4D66B"/>
    <w:multiLevelType w:val="hybridMultilevel"/>
    <w:tmpl w:val="FFFFFFFF"/>
    <w:lvl w:ilvl="0" w:tplc="9AC0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41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CA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A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25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65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CA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C8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47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33BD3"/>
    <w:multiLevelType w:val="hybridMultilevel"/>
    <w:tmpl w:val="93A8414C"/>
    <w:lvl w:ilvl="0" w:tplc="828E16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B04C0"/>
    <w:multiLevelType w:val="hybridMultilevel"/>
    <w:tmpl w:val="AA4E21B8"/>
    <w:lvl w:ilvl="0" w:tplc="828E16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80950">
    <w:abstractNumId w:val="3"/>
  </w:num>
  <w:num w:numId="2" w16cid:durableId="1192374944">
    <w:abstractNumId w:val="2"/>
  </w:num>
  <w:num w:numId="3" w16cid:durableId="137495970">
    <w:abstractNumId w:val="5"/>
  </w:num>
  <w:num w:numId="4" w16cid:durableId="1999535114">
    <w:abstractNumId w:val="4"/>
  </w:num>
  <w:num w:numId="5" w16cid:durableId="302080537">
    <w:abstractNumId w:val="0"/>
  </w:num>
  <w:num w:numId="6" w16cid:durableId="73304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90"/>
    <w:rsid w:val="00001E2D"/>
    <w:rsid w:val="00002003"/>
    <w:rsid w:val="00012F15"/>
    <w:rsid w:val="00020771"/>
    <w:rsid w:val="00022A81"/>
    <w:rsid w:val="00031D25"/>
    <w:rsid w:val="0003390B"/>
    <w:rsid w:val="000370EC"/>
    <w:rsid w:val="000465CB"/>
    <w:rsid w:val="000469AA"/>
    <w:rsid w:val="00047C67"/>
    <w:rsid w:val="00052A80"/>
    <w:rsid w:val="00060B86"/>
    <w:rsid w:val="00061C51"/>
    <w:rsid w:val="00070FCC"/>
    <w:rsid w:val="00093A62"/>
    <w:rsid w:val="00096E3C"/>
    <w:rsid w:val="000B20B7"/>
    <w:rsid w:val="000C0A05"/>
    <w:rsid w:val="000C5440"/>
    <w:rsid w:val="000C72E0"/>
    <w:rsid w:val="000D1FBD"/>
    <w:rsid w:val="000F5965"/>
    <w:rsid w:val="00103CE3"/>
    <w:rsid w:val="001127B8"/>
    <w:rsid w:val="00115E37"/>
    <w:rsid w:val="00125967"/>
    <w:rsid w:val="00142AD4"/>
    <w:rsid w:val="00152CE2"/>
    <w:rsid w:val="00153D19"/>
    <w:rsid w:val="00154D40"/>
    <w:rsid w:val="0015725E"/>
    <w:rsid w:val="001621F3"/>
    <w:rsid w:val="00164308"/>
    <w:rsid w:val="00165AFF"/>
    <w:rsid w:val="001750DD"/>
    <w:rsid w:val="001768DD"/>
    <w:rsid w:val="00180D45"/>
    <w:rsid w:val="00180E62"/>
    <w:rsid w:val="00181241"/>
    <w:rsid w:val="001819EE"/>
    <w:rsid w:val="001A4CEA"/>
    <w:rsid w:val="001A6D93"/>
    <w:rsid w:val="001B20B0"/>
    <w:rsid w:val="001B27D9"/>
    <w:rsid w:val="001C64A6"/>
    <w:rsid w:val="001D09AB"/>
    <w:rsid w:val="001D2428"/>
    <w:rsid w:val="001E6AE7"/>
    <w:rsid w:val="001F297C"/>
    <w:rsid w:val="00202291"/>
    <w:rsid w:val="00202977"/>
    <w:rsid w:val="002033FC"/>
    <w:rsid w:val="00204535"/>
    <w:rsid w:val="00204A4A"/>
    <w:rsid w:val="00223535"/>
    <w:rsid w:val="0023134C"/>
    <w:rsid w:val="00233EAD"/>
    <w:rsid w:val="00242F7A"/>
    <w:rsid w:val="002434EB"/>
    <w:rsid w:val="00243FDF"/>
    <w:rsid w:val="00245026"/>
    <w:rsid w:val="002544CA"/>
    <w:rsid w:val="00254CE4"/>
    <w:rsid w:val="00262D69"/>
    <w:rsid w:val="002657F4"/>
    <w:rsid w:val="0027636A"/>
    <w:rsid w:val="0027662A"/>
    <w:rsid w:val="0028680B"/>
    <w:rsid w:val="00293FAA"/>
    <w:rsid w:val="002C0F27"/>
    <w:rsid w:val="002C235F"/>
    <w:rsid w:val="002C52AB"/>
    <w:rsid w:val="002C7F2A"/>
    <w:rsid w:val="002F1B16"/>
    <w:rsid w:val="0030286A"/>
    <w:rsid w:val="00307CFC"/>
    <w:rsid w:val="00311EF8"/>
    <w:rsid w:val="00315842"/>
    <w:rsid w:val="003256EA"/>
    <w:rsid w:val="00327C36"/>
    <w:rsid w:val="00341F95"/>
    <w:rsid w:val="00345199"/>
    <w:rsid w:val="0034530D"/>
    <w:rsid w:val="00366BA2"/>
    <w:rsid w:val="00374311"/>
    <w:rsid w:val="00376509"/>
    <w:rsid w:val="00386ABF"/>
    <w:rsid w:val="00393317"/>
    <w:rsid w:val="00394800"/>
    <w:rsid w:val="003A4D03"/>
    <w:rsid w:val="003A51F7"/>
    <w:rsid w:val="003B3843"/>
    <w:rsid w:val="003B4895"/>
    <w:rsid w:val="003B5DF6"/>
    <w:rsid w:val="003D6D19"/>
    <w:rsid w:val="003D7936"/>
    <w:rsid w:val="003E4BC5"/>
    <w:rsid w:val="003F628E"/>
    <w:rsid w:val="00404800"/>
    <w:rsid w:val="00405826"/>
    <w:rsid w:val="00407D5F"/>
    <w:rsid w:val="00410F86"/>
    <w:rsid w:val="0041135D"/>
    <w:rsid w:val="0041292B"/>
    <w:rsid w:val="004154F9"/>
    <w:rsid w:val="004157ED"/>
    <w:rsid w:val="00416583"/>
    <w:rsid w:val="004170AF"/>
    <w:rsid w:val="004176CC"/>
    <w:rsid w:val="00433EEC"/>
    <w:rsid w:val="004441B2"/>
    <w:rsid w:val="0046694A"/>
    <w:rsid w:val="004748B1"/>
    <w:rsid w:val="00475719"/>
    <w:rsid w:val="00475C30"/>
    <w:rsid w:val="004843BB"/>
    <w:rsid w:val="00495324"/>
    <w:rsid w:val="00497AC3"/>
    <w:rsid w:val="004A3DDD"/>
    <w:rsid w:val="004B08C9"/>
    <w:rsid w:val="004B7F40"/>
    <w:rsid w:val="004C05C9"/>
    <w:rsid w:val="004C4462"/>
    <w:rsid w:val="004C5FB6"/>
    <w:rsid w:val="004D3D6B"/>
    <w:rsid w:val="004D46DA"/>
    <w:rsid w:val="004D6E01"/>
    <w:rsid w:val="004E3A88"/>
    <w:rsid w:val="004E5968"/>
    <w:rsid w:val="00510B23"/>
    <w:rsid w:val="005233FB"/>
    <w:rsid w:val="00530AAC"/>
    <w:rsid w:val="00536B67"/>
    <w:rsid w:val="005467B1"/>
    <w:rsid w:val="00555025"/>
    <w:rsid w:val="00561975"/>
    <w:rsid w:val="00566E1D"/>
    <w:rsid w:val="00586654"/>
    <w:rsid w:val="00590173"/>
    <w:rsid w:val="00590BC1"/>
    <w:rsid w:val="005A42FE"/>
    <w:rsid w:val="005B3FBF"/>
    <w:rsid w:val="005B46EB"/>
    <w:rsid w:val="005B6BC0"/>
    <w:rsid w:val="005C1E5D"/>
    <w:rsid w:val="005D3301"/>
    <w:rsid w:val="005D70A8"/>
    <w:rsid w:val="005E1ABF"/>
    <w:rsid w:val="005E2D16"/>
    <w:rsid w:val="005E3B1F"/>
    <w:rsid w:val="005F37B1"/>
    <w:rsid w:val="006026B2"/>
    <w:rsid w:val="00602D66"/>
    <w:rsid w:val="00610F98"/>
    <w:rsid w:val="00637CBE"/>
    <w:rsid w:val="006400B9"/>
    <w:rsid w:val="0064097B"/>
    <w:rsid w:val="006466E7"/>
    <w:rsid w:val="00662185"/>
    <w:rsid w:val="006653D3"/>
    <w:rsid w:val="0067466A"/>
    <w:rsid w:val="00686CCD"/>
    <w:rsid w:val="00693761"/>
    <w:rsid w:val="00694991"/>
    <w:rsid w:val="006A7E19"/>
    <w:rsid w:val="006C4CA7"/>
    <w:rsid w:val="006D0FC6"/>
    <w:rsid w:val="00714844"/>
    <w:rsid w:val="0071576F"/>
    <w:rsid w:val="00717136"/>
    <w:rsid w:val="007174C1"/>
    <w:rsid w:val="0073599E"/>
    <w:rsid w:val="00741709"/>
    <w:rsid w:val="007436DD"/>
    <w:rsid w:val="00747078"/>
    <w:rsid w:val="00756121"/>
    <w:rsid w:val="00760172"/>
    <w:rsid w:val="0076602D"/>
    <w:rsid w:val="00766DA7"/>
    <w:rsid w:val="00766FF0"/>
    <w:rsid w:val="00791F87"/>
    <w:rsid w:val="00793C71"/>
    <w:rsid w:val="00796010"/>
    <w:rsid w:val="007A238A"/>
    <w:rsid w:val="007A3A7F"/>
    <w:rsid w:val="007B105E"/>
    <w:rsid w:val="007B34D9"/>
    <w:rsid w:val="007B3ED6"/>
    <w:rsid w:val="007B48F0"/>
    <w:rsid w:val="007D63EE"/>
    <w:rsid w:val="007E07C2"/>
    <w:rsid w:val="007E1552"/>
    <w:rsid w:val="007E521A"/>
    <w:rsid w:val="00806F2E"/>
    <w:rsid w:val="008252D4"/>
    <w:rsid w:val="00846B91"/>
    <w:rsid w:val="00853AB0"/>
    <w:rsid w:val="0085558A"/>
    <w:rsid w:val="00864626"/>
    <w:rsid w:val="0086733F"/>
    <w:rsid w:val="00872741"/>
    <w:rsid w:val="0088283D"/>
    <w:rsid w:val="008839E0"/>
    <w:rsid w:val="00886C11"/>
    <w:rsid w:val="00894828"/>
    <w:rsid w:val="00896D90"/>
    <w:rsid w:val="008B1FAA"/>
    <w:rsid w:val="008C1EA2"/>
    <w:rsid w:val="008D15CA"/>
    <w:rsid w:val="008D60A4"/>
    <w:rsid w:val="008E0A13"/>
    <w:rsid w:val="008F4E15"/>
    <w:rsid w:val="008F7AD0"/>
    <w:rsid w:val="009005CD"/>
    <w:rsid w:val="00902533"/>
    <w:rsid w:val="009038CC"/>
    <w:rsid w:val="00904C9D"/>
    <w:rsid w:val="00912203"/>
    <w:rsid w:val="009223BA"/>
    <w:rsid w:val="0093668F"/>
    <w:rsid w:val="0094189B"/>
    <w:rsid w:val="00945740"/>
    <w:rsid w:val="00947361"/>
    <w:rsid w:val="00951DAB"/>
    <w:rsid w:val="009532EF"/>
    <w:rsid w:val="009625D1"/>
    <w:rsid w:val="009753B6"/>
    <w:rsid w:val="009A5B55"/>
    <w:rsid w:val="009C33D7"/>
    <w:rsid w:val="009D4228"/>
    <w:rsid w:val="009D63D4"/>
    <w:rsid w:val="009E506E"/>
    <w:rsid w:val="00A05C74"/>
    <w:rsid w:val="00A123FC"/>
    <w:rsid w:val="00A17BCC"/>
    <w:rsid w:val="00A21A79"/>
    <w:rsid w:val="00A24770"/>
    <w:rsid w:val="00A31E02"/>
    <w:rsid w:val="00A34F10"/>
    <w:rsid w:val="00A36021"/>
    <w:rsid w:val="00A46A2A"/>
    <w:rsid w:val="00A610CF"/>
    <w:rsid w:val="00A612C1"/>
    <w:rsid w:val="00A72348"/>
    <w:rsid w:val="00A74435"/>
    <w:rsid w:val="00A83231"/>
    <w:rsid w:val="00A83AAA"/>
    <w:rsid w:val="00A83BDE"/>
    <w:rsid w:val="00A875EF"/>
    <w:rsid w:val="00A93623"/>
    <w:rsid w:val="00AB5503"/>
    <w:rsid w:val="00AB604B"/>
    <w:rsid w:val="00AC6306"/>
    <w:rsid w:val="00AD2755"/>
    <w:rsid w:val="00AE1AAC"/>
    <w:rsid w:val="00AE464D"/>
    <w:rsid w:val="00AE5A32"/>
    <w:rsid w:val="00AF044C"/>
    <w:rsid w:val="00AF2424"/>
    <w:rsid w:val="00AF7DB6"/>
    <w:rsid w:val="00B212F6"/>
    <w:rsid w:val="00B23B92"/>
    <w:rsid w:val="00B40E45"/>
    <w:rsid w:val="00B73E61"/>
    <w:rsid w:val="00B740EC"/>
    <w:rsid w:val="00B74F13"/>
    <w:rsid w:val="00B7598B"/>
    <w:rsid w:val="00B76924"/>
    <w:rsid w:val="00B90F0D"/>
    <w:rsid w:val="00B9290D"/>
    <w:rsid w:val="00BA2A4E"/>
    <w:rsid w:val="00BD072A"/>
    <w:rsid w:val="00BD14C2"/>
    <w:rsid w:val="00BD4F56"/>
    <w:rsid w:val="00C12A16"/>
    <w:rsid w:val="00C12AB0"/>
    <w:rsid w:val="00C24C54"/>
    <w:rsid w:val="00C4180D"/>
    <w:rsid w:val="00C41D46"/>
    <w:rsid w:val="00C42D15"/>
    <w:rsid w:val="00C4709F"/>
    <w:rsid w:val="00C54F65"/>
    <w:rsid w:val="00C911C5"/>
    <w:rsid w:val="00CB10CE"/>
    <w:rsid w:val="00CB5733"/>
    <w:rsid w:val="00CB6314"/>
    <w:rsid w:val="00CB6922"/>
    <w:rsid w:val="00CC3D26"/>
    <w:rsid w:val="00CC7DBA"/>
    <w:rsid w:val="00CD3C1F"/>
    <w:rsid w:val="00CD79E6"/>
    <w:rsid w:val="00CE178B"/>
    <w:rsid w:val="00CE5738"/>
    <w:rsid w:val="00CF0F3B"/>
    <w:rsid w:val="00CF5B90"/>
    <w:rsid w:val="00D00650"/>
    <w:rsid w:val="00D178F3"/>
    <w:rsid w:val="00D208C4"/>
    <w:rsid w:val="00D329B1"/>
    <w:rsid w:val="00D32D9C"/>
    <w:rsid w:val="00D35076"/>
    <w:rsid w:val="00D415B6"/>
    <w:rsid w:val="00D6039F"/>
    <w:rsid w:val="00D65255"/>
    <w:rsid w:val="00D66284"/>
    <w:rsid w:val="00D72ECE"/>
    <w:rsid w:val="00D751F4"/>
    <w:rsid w:val="00D85AF8"/>
    <w:rsid w:val="00D91402"/>
    <w:rsid w:val="00D9545B"/>
    <w:rsid w:val="00DA2F52"/>
    <w:rsid w:val="00DA4903"/>
    <w:rsid w:val="00DA6451"/>
    <w:rsid w:val="00DA6FBC"/>
    <w:rsid w:val="00DB0DEC"/>
    <w:rsid w:val="00DD4FAC"/>
    <w:rsid w:val="00DE08C9"/>
    <w:rsid w:val="00DE27E8"/>
    <w:rsid w:val="00DE4F54"/>
    <w:rsid w:val="00DE7511"/>
    <w:rsid w:val="00DF2F6E"/>
    <w:rsid w:val="00E1118D"/>
    <w:rsid w:val="00E1641C"/>
    <w:rsid w:val="00E35BA8"/>
    <w:rsid w:val="00E43134"/>
    <w:rsid w:val="00E53B77"/>
    <w:rsid w:val="00E57385"/>
    <w:rsid w:val="00E57517"/>
    <w:rsid w:val="00E61281"/>
    <w:rsid w:val="00E64441"/>
    <w:rsid w:val="00E66AE8"/>
    <w:rsid w:val="00E759E7"/>
    <w:rsid w:val="00E85A54"/>
    <w:rsid w:val="00E872E2"/>
    <w:rsid w:val="00E91379"/>
    <w:rsid w:val="00EA15E0"/>
    <w:rsid w:val="00EC0D0D"/>
    <w:rsid w:val="00EF1656"/>
    <w:rsid w:val="00EF3598"/>
    <w:rsid w:val="00F2411D"/>
    <w:rsid w:val="00F272A5"/>
    <w:rsid w:val="00F33562"/>
    <w:rsid w:val="00F35E27"/>
    <w:rsid w:val="00F4605E"/>
    <w:rsid w:val="00F652C8"/>
    <w:rsid w:val="00F71725"/>
    <w:rsid w:val="00F80949"/>
    <w:rsid w:val="00F948D1"/>
    <w:rsid w:val="00F97395"/>
    <w:rsid w:val="00FB3008"/>
    <w:rsid w:val="00FB6148"/>
    <w:rsid w:val="00FC7E11"/>
    <w:rsid w:val="00FD09CA"/>
    <w:rsid w:val="00FD6D40"/>
    <w:rsid w:val="00FD6DAB"/>
    <w:rsid w:val="00FE35CD"/>
    <w:rsid w:val="00FF007D"/>
    <w:rsid w:val="00FF0C0D"/>
    <w:rsid w:val="00FF60B4"/>
    <w:rsid w:val="00FF6BEE"/>
    <w:rsid w:val="0160665C"/>
    <w:rsid w:val="02415CB7"/>
    <w:rsid w:val="025F333B"/>
    <w:rsid w:val="02774079"/>
    <w:rsid w:val="02A65255"/>
    <w:rsid w:val="02BBAF6A"/>
    <w:rsid w:val="05749A54"/>
    <w:rsid w:val="068527A3"/>
    <w:rsid w:val="0699A813"/>
    <w:rsid w:val="07052479"/>
    <w:rsid w:val="07B6B404"/>
    <w:rsid w:val="0A4C9535"/>
    <w:rsid w:val="0B33377D"/>
    <w:rsid w:val="0C450800"/>
    <w:rsid w:val="0CB24BD5"/>
    <w:rsid w:val="0CBD2B5F"/>
    <w:rsid w:val="0CF81DF8"/>
    <w:rsid w:val="0D9011E7"/>
    <w:rsid w:val="0DEA1684"/>
    <w:rsid w:val="0DF1981A"/>
    <w:rsid w:val="0F9022D3"/>
    <w:rsid w:val="108969C9"/>
    <w:rsid w:val="1161B863"/>
    <w:rsid w:val="117BEC54"/>
    <w:rsid w:val="1199FDD4"/>
    <w:rsid w:val="1357FB8B"/>
    <w:rsid w:val="15B8BFD9"/>
    <w:rsid w:val="16450414"/>
    <w:rsid w:val="168B7921"/>
    <w:rsid w:val="16CE059E"/>
    <w:rsid w:val="17BF93F4"/>
    <w:rsid w:val="1838798C"/>
    <w:rsid w:val="1856E7C6"/>
    <w:rsid w:val="18D47780"/>
    <w:rsid w:val="19793023"/>
    <w:rsid w:val="19EC2D6F"/>
    <w:rsid w:val="1A8FA680"/>
    <w:rsid w:val="1AAB55A7"/>
    <w:rsid w:val="1B156408"/>
    <w:rsid w:val="1B61688B"/>
    <w:rsid w:val="1C464BAA"/>
    <w:rsid w:val="1C5E445A"/>
    <w:rsid w:val="1DF435D2"/>
    <w:rsid w:val="1E7A2605"/>
    <w:rsid w:val="1F3FED4D"/>
    <w:rsid w:val="20212C15"/>
    <w:rsid w:val="20854934"/>
    <w:rsid w:val="20A64983"/>
    <w:rsid w:val="21521A5A"/>
    <w:rsid w:val="21E534D8"/>
    <w:rsid w:val="2363B9D6"/>
    <w:rsid w:val="246972B8"/>
    <w:rsid w:val="24CD17D3"/>
    <w:rsid w:val="24CD4392"/>
    <w:rsid w:val="25BEEE5E"/>
    <w:rsid w:val="25DE0FF9"/>
    <w:rsid w:val="2621C8C3"/>
    <w:rsid w:val="263CD578"/>
    <w:rsid w:val="2678E660"/>
    <w:rsid w:val="2698B162"/>
    <w:rsid w:val="273F070F"/>
    <w:rsid w:val="281D7C6E"/>
    <w:rsid w:val="2875369E"/>
    <w:rsid w:val="28A93F8D"/>
    <w:rsid w:val="28AAB6CE"/>
    <w:rsid w:val="298849DA"/>
    <w:rsid w:val="29898309"/>
    <w:rsid w:val="2A1F5DAF"/>
    <w:rsid w:val="2AA1FD52"/>
    <w:rsid w:val="2AE8282A"/>
    <w:rsid w:val="2B6E6B64"/>
    <w:rsid w:val="2B9AF6B9"/>
    <w:rsid w:val="2CC66520"/>
    <w:rsid w:val="2D71F5C9"/>
    <w:rsid w:val="2DC80150"/>
    <w:rsid w:val="312A671F"/>
    <w:rsid w:val="32BBB9A4"/>
    <w:rsid w:val="34FE8104"/>
    <w:rsid w:val="35394A2C"/>
    <w:rsid w:val="354E74D4"/>
    <w:rsid w:val="355536A6"/>
    <w:rsid w:val="39156C9B"/>
    <w:rsid w:val="3980E720"/>
    <w:rsid w:val="39D158DC"/>
    <w:rsid w:val="3A311544"/>
    <w:rsid w:val="3A919A19"/>
    <w:rsid w:val="3ADC9920"/>
    <w:rsid w:val="3BD0B2C2"/>
    <w:rsid w:val="3D29E07A"/>
    <w:rsid w:val="3DAAEC21"/>
    <w:rsid w:val="3FF0DF16"/>
    <w:rsid w:val="3FF4F2F9"/>
    <w:rsid w:val="406948C6"/>
    <w:rsid w:val="40F3996B"/>
    <w:rsid w:val="4321B43B"/>
    <w:rsid w:val="433D4F7B"/>
    <w:rsid w:val="445F0F54"/>
    <w:rsid w:val="4581B700"/>
    <w:rsid w:val="469C8E4B"/>
    <w:rsid w:val="47D1B94D"/>
    <w:rsid w:val="47FCAD3B"/>
    <w:rsid w:val="4803186A"/>
    <w:rsid w:val="48C02988"/>
    <w:rsid w:val="49787DE7"/>
    <w:rsid w:val="49BDFD99"/>
    <w:rsid w:val="4B3B3957"/>
    <w:rsid w:val="4C06085F"/>
    <w:rsid w:val="4CB131A3"/>
    <w:rsid w:val="4D88BA46"/>
    <w:rsid w:val="4E1C73FF"/>
    <w:rsid w:val="4EDCA06D"/>
    <w:rsid w:val="4EEC278C"/>
    <w:rsid w:val="4F40B168"/>
    <w:rsid w:val="4F430AA8"/>
    <w:rsid w:val="4FAD289B"/>
    <w:rsid w:val="4FD9B90B"/>
    <w:rsid w:val="50B94943"/>
    <w:rsid w:val="511A1D88"/>
    <w:rsid w:val="51228345"/>
    <w:rsid w:val="5292C08C"/>
    <w:rsid w:val="53DF6800"/>
    <w:rsid w:val="541FEC5A"/>
    <w:rsid w:val="542F05CD"/>
    <w:rsid w:val="54453C13"/>
    <w:rsid w:val="5506ED51"/>
    <w:rsid w:val="553E89EE"/>
    <w:rsid w:val="55CCBD9B"/>
    <w:rsid w:val="55D41033"/>
    <w:rsid w:val="55DF4F80"/>
    <w:rsid w:val="5672708C"/>
    <w:rsid w:val="57671D56"/>
    <w:rsid w:val="57AB247D"/>
    <w:rsid w:val="57D1F86B"/>
    <w:rsid w:val="5849ADEC"/>
    <w:rsid w:val="588F9101"/>
    <w:rsid w:val="5920FA57"/>
    <w:rsid w:val="592ECAB4"/>
    <w:rsid w:val="59398390"/>
    <w:rsid w:val="5A8F4D85"/>
    <w:rsid w:val="5C3ABBC7"/>
    <w:rsid w:val="5CC20364"/>
    <w:rsid w:val="5CD9B4A4"/>
    <w:rsid w:val="5DF8B655"/>
    <w:rsid w:val="5EA3190F"/>
    <w:rsid w:val="5F2E709F"/>
    <w:rsid w:val="5FE36D7A"/>
    <w:rsid w:val="5FE4DF26"/>
    <w:rsid w:val="60B1043D"/>
    <w:rsid w:val="613A61D6"/>
    <w:rsid w:val="62440CDF"/>
    <w:rsid w:val="6255A582"/>
    <w:rsid w:val="6271DAE4"/>
    <w:rsid w:val="62CDB044"/>
    <w:rsid w:val="64BB0A4D"/>
    <w:rsid w:val="668C5AED"/>
    <w:rsid w:val="673CCB72"/>
    <w:rsid w:val="67E6B12F"/>
    <w:rsid w:val="67FDA9B3"/>
    <w:rsid w:val="68BBD843"/>
    <w:rsid w:val="68E8F8AC"/>
    <w:rsid w:val="69DB320B"/>
    <w:rsid w:val="6A738C3C"/>
    <w:rsid w:val="6A7999AB"/>
    <w:rsid w:val="6B6FD6A7"/>
    <w:rsid w:val="6C4B9D45"/>
    <w:rsid w:val="6CF7F5E4"/>
    <w:rsid w:val="6CFA27AF"/>
    <w:rsid w:val="6D7BFEF7"/>
    <w:rsid w:val="6DC10DDB"/>
    <w:rsid w:val="6E032E13"/>
    <w:rsid w:val="6E2F995D"/>
    <w:rsid w:val="6EE4B7A8"/>
    <w:rsid w:val="6EF4906E"/>
    <w:rsid w:val="6EFE6D53"/>
    <w:rsid w:val="6F7B6ECB"/>
    <w:rsid w:val="706F0599"/>
    <w:rsid w:val="70B026D1"/>
    <w:rsid w:val="710EA677"/>
    <w:rsid w:val="71822080"/>
    <w:rsid w:val="718EB782"/>
    <w:rsid w:val="71A9586D"/>
    <w:rsid w:val="72A553B6"/>
    <w:rsid w:val="73463C30"/>
    <w:rsid w:val="73C2615E"/>
    <w:rsid w:val="73F629E7"/>
    <w:rsid w:val="75030565"/>
    <w:rsid w:val="75774313"/>
    <w:rsid w:val="762A6823"/>
    <w:rsid w:val="77695E22"/>
    <w:rsid w:val="7800E094"/>
    <w:rsid w:val="78087FF2"/>
    <w:rsid w:val="78107561"/>
    <w:rsid w:val="781D6C48"/>
    <w:rsid w:val="7863A0BA"/>
    <w:rsid w:val="78AC5127"/>
    <w:rsid w:val="79563086"/>
    <w:rsid w:val="7978422F"/>
    <w:rsid w:val="7A12E474"/>
    <w:rsid w:val="7B397F5E"/>
    <w:rsid w:val="7B42B8DD"/>
    <w:rsid w:val="7B58135D"/>
    <w:rsid w:val="7BACD787"/>
    <w:rsid w:val="7C28F945"/>
    <w:rsid w:val="7D31060A"/>
    <w:rsid w:val="7ED539D0"/>
    <w:rsid w:val="7EF80AE4"/>
    <w:rsid w:val="7F6B4DD1"/>
    <w:rsid w:val="7FA203C0"/>
    <w:rsid w:val="7FA7B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5212"/>
  <w15:chartTrackingRefBased/>
  <w15:docId w15:val="{B7646D0A-493A-4D00-86B9-9824B281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5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5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5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5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5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5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5B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B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5B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B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B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B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5B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5B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5B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5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5B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5B9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2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7e105-e143-43ca-b28e-911ec83b13be">
      <Terms xmlns="http://schemas.microsoft.com/office/infopath/2007/PartnerControls"/>
    </lcf76f155ced4ddcb4097134ff3c332f>
    <TaxCatchAll xmlns="7679e0b6-1df6-44a1-989d-0576d85a54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5E5D87A35BF4EBB2D72CAFFDFB368" ma:contentTypeVersion="12" ma:contentTypeDescription="Crear nuevo documento." ma:contentTypeScope="" ma:versionID="1ba0e80c61f0b17b22022a69c394cef2">
  <xsd:schema xmlns:xsd="http://www.w3.org/2001/XMLSchema" xmlns:xs="http://www.w3.org/2001/XMLSchema" xmlns:p="http://schemas.microsoft.com/office/2006/metadata/properties" xmlns:ns2="36a7e105-e143-43ca-b28e-911ec83b13be" xmlns:ns3="7679e0b6-1df6-44a1-989d-0576d85a549c" targetNamespace="http://schemas.microsoft.com/office/2006/metadata/properties" ma:root="true" ma:fieldsID="83c89d0d6bad4a6297b53c5439bae5af" ns2:_="" ns3:_="">
    <xsd:import namespace="36a7e105-e143-43ca-b28e-911ec83b13be"/>
    <xsd:import namespace="7679e0b6-1df6-44a1-989d-0576d85a5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e105-e143-43ca-b28e-911ec83b1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b93b173-bc4a-45ba-89bd-e1627671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e0b6-1df6-44a1-989d-0576d85a54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d92d55-d641-4858-af18-bc20ac63ffb0}" ma:internalName="TaxCatchAll" ma:showField="CatchAllData" ma:web="7679e0b6-1df6-44a1-989d-0576d85a5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BEE28-ABA3-4FED-9DCB-CB174E14F036}">
  <ds:schemaRefs>
    <ds:schemaRef ds:uri="7679e0b6-1df6-44a1-989d-0576d85a549c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36a7e105-e143-43ca-b28e-911ec83b13b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E743B14-CD4E-4889-8466-55A1BFE9699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6a7e105-e143-43ca-b28e-911ec83b13be"/>
    <ds:schemaRef ds:uri="7679e0b6-1df6-44a1-989d-0576d85a549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02C02-E101-4E01-BC98-956797CAD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Miguel Velez Penagos</dc:creator>
  <cp:keywords/>
  <dc:description/>
  <cp:lastModifiedBy>Santiago Henao Restrepo</cp:lastModifiedBy>
  <cp:revision>226</cp:revision>
  <dcterms:created xsi:type="dcterms:W3CDTF">2025-04-01T02:40:00Z</dcterms:created>
  <dcterms:modified xsi:type="dcterms:W3CDTF">2025-04-12T14:56:00Z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0x010100F1A5E5D87A35BF4EBB2D72CAFFDFB368</vt:lpwstr>
  </property>
</Properties>
</file>